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4"/>
        </w:rPr>
        <w:t>Anti-Pitch</w:t>
      </w:r>
    </w:p>
    <w:p>
      <w:r>
        <w:rPr>
          <w:b/>
          <w:sz w:val="40"/>
        </w:rPr>
        <w:t>Non-Disclosure Agreement</w:t>
      </w:r>
    </w:p>
    <w:p>
      <w:r>
        <w:rPr>
          <w:color w:val="6B6391"/>
        </w:rPr>
        <w:t>To take part in an Anti-Pitch session</w:t>
      </w:r>
    </w:p>
    <w:tbl>
      <w:tblPr>
        <w:tblStyle w:val="TableGrid"/>
        <w:tblW w:type="auto" w:w="0"/>
        <w:tblLook w:firstColumn="1" w:firstRow="1" w:lastColumn="0" w:lastRow="0" w:noHBand="0" w:noVBand="1" w:val="04A0"/>
      </w:tblPr>
      <w:tblGrid>
        <w:gridCol w:w="4986"/>
        <w:gridCol w:w="4986"/>
      </w:tblGrid>
      <w:tr>
        <w:tc>
          <w:tcPr>
            <w:tcW w:type="dxa" w:w="4986"/>
          </w:tcPr>
          <w:p>
            <w:r>
              <w:rPr>
                <w:b/>
              </w:rPr>
              <w:t>Session date</w:t>
            </w:r>
          </w:p>
        </w:tc>
        <w:tc>
          <w:tcPr>
            <w:tcW w:type="dxa" w:w="4986"/>
          </w:tcPr>
          <w:p>
            <w:r/>
          </w:p>
        </w:tc>
      </w:tr>
      <w:tr>
        <w:tc>
          <w:tcPr>
            <w:tcW w:type="dxa" w:w="4986"/>
          </w:tcPr>
          <w:p>
            <w:r>
              <w:rPr>
                <w:b/>
              </w:rPr>
              <w:t>City</w:t>
            </w:r>
          </w:p>
        </w:tc>
        <w:tc>
          <w:tcPr>
            <w:tcW w:type="dxa" w:w="4986"/>
          </w:tcPr>
          <w:p>
            <w:r/>
          </w:p>
        </w:tc>
      </w:tr>
      <w:tr>
        <w:tc>
          <w:tcPr>
            <w:tcW w:type="dxa" w:w="4986"/>
          </w:tcPr>
          <w:p>
            <w:r>
              <w:rPr>
                <w:b/>
              </w:rPr>
              <w:t>Company presenting the challenge</w:t>
            </w:r>
          </w:p>
        </w:tc>
        <w:tc>
          <w:tcPr>
            <w:tcW w:type="dxa" w:w="4986"/>
          </w:tcPr>
          <w:p>
            <w:r/>
          </w:p>
        </w:tc>
      </w:tr>
      <w:tr>
        <w:tc>
          <w:tcPr>
            <w:tcW w:type="dxa" w:w="4986"/>
          </w:tcPr>
          <w:p>
            <w:r>
              <w:rPr>
                <w:b/>
              </w:rPr>
              <w:t>Organiser</w:t>
            </w:r>
          </w:p>
        </w:tc>
        <w:tc>
          <w:tcPr>
            <w:tcW w:type="dxa" w:w="4986"/>
          </w:tcPr>
          <w:p>
            <w:r>
              <w:t>Anti-Pitch · team@antipitch.org (and local organiser, if any)</w:t>
            </w:r>
          </w:p>
        </w:tc>
      </w:tr>
    </w:tbl>
    <w:p/>
    <w:p>
      <w:r>
        <w:t>The people signing at the end (“Participants”) take part in the Anti-Pitch session identified above (“Session”). At the Session, the company identified above (“Company”) shares a real challenge and the Participants work on it with honest feedback for 120 minutes. This agreement sets out how what is shared is protected.</w:t>
      </w:r>
    </w:p>
    <w:p>
      <w:r>
        <w:rPr>
          <w:b/>
          <w:sz w:val="23"/>
        </w:rPr>
        <w:t>1. What counts as confidential information</w:t>
      </w:r>
    </w:p>
    <w:p>
      <w:r>
        <w:t>All information the Company shares in connection with the challenge, before, during or after the Session, in any format: the challenge itself, customer, sales, financial, product, technology and team data, plans and pending decisions.</w:t>
      </w:r>
    </w:p>
    <w:p>
      <w:r>
        <w:t>Also whatever any Participant shares about their own activity at the table, and the opinions and proposals raised in the conversation to the extent they allow the Company, the challenge or the speaker to be identified.</w:t>
      </w:r>
    </w:p>
    <w:p>
      <w:r>
        <w:rPr>
          <w:b/>
          <w:sz w:val="23"/>
        </w:rPr>
        <w:t>2. What Participants commit to</w:t>
      </w:r>
    </w:p>
    <w:p>
      <w:r>
        <w:t>(a) Use confidential information only to take part in the Session and give feedback.</w:t>
      </w:r>
    </w:p>
    <w:p>
      <w:r>
        <w:t>(b) Not disclose or publish it in any medium, including social media and artificial-intelligence tools that retain data.</w:t>
      </w:r>
    </w:p>
    <w:p>
      <w:r>
        <w:t>(c) Protect it with the same care as their own confidential information and never with less than reasonable care.</w:t>
      </w:r>
    </w:p>
    <w:p>
      <w:r>
        <w:t>(d) Not record audio or video, or photograph materials, without the express permission of the Company and the Organiser.</w:t>
      </w:r>
    </w:p>
    <w:p>
      <w:r>
        <w:t>(e) Return or destroy any materials received if the Company asks.</w:t>
      </w:r>
    </w:p>
    <w:p>
      <w:r>
        <w:rPr>
          <w:b/>
          <w:sz w:val="23"/>
        </w:rPr>
        <w:t>3. What may be shared (the table rule)</w:t>
      </w:r>
    </w:p>
    <w:p>
      <w:r>
        <w:t>Participants may say that they took part in an Anti-Pitch and share general learnings, as long as they do not identify the Company, the challenge or other Participants, nor attribute opinions to individuals.</w:t>
      </w:r>
    </w:p>
    <w:p>
      <w:r>
        <w:t>The rule is simple: what is said may be used; who said it and who it was about may not.</w:t>
      </w:r>
    </w:p>
    <w:p>
      <w:r>
        <w:rPr>
          <w:b/>
          <w:sz w:val="23"/>
        </w:rPr>
        <w:t>4. Exceptions</w:t>
      </w:r>
    </w:p>
    <w:p>
      <w:r>
        <w:t>Information is not confidential if it: (a) is or becomes public through no fault of the Participant; (b) was already known to the Participant, and they can show it; (c) is lawfully received from a third party without a duty of confidence; (d) is developed independently without using confidential information; (e) must be disclosed by law or by order of an authority, giving the Company prior notice where possible and limiting disclosure to what is required.</w:t>
      </w:r>
    </w:p>
    <w:p>
      <w:r>
        <w:rPr>
          <w:b/>
          <w:sz w:val="23"/>
        </w:rPr>
        <w:t>5. Ownership and feedback</w:t>
      </w:r>
    </w:p>
    <w:p>
      <w:r>
        <w:t>Confidential information remains the Company's. This agreement grants no licence or rights over it.</w:t>
      </w:r>
    </w:p>
    <w:p>
      <w:r>
        <w:t>Feedback, ideas and proposals contributed by Participants at the table are given in good faith and free of charge. The Company may use them freely, with no duty of attribution or compensation, and Participants acquire no rights over what the Company does with them. A Participant who wants to propose a collaboration does so separately and in writing.</w:t>
      </w:r>
    </w:p>
    <w:p>
      <w:r>
        <w:rPr>
          <w:b/>
          <w:sz w:val="23"/>
        </w:rPr>
        <w:t>6. No obligation to do business, no exclusivity</w:t>
      </w:r>
    </w:p>
    <w:p>
      <w:r>
        <w:t>This agreement obliges no one to contract, invest, partner or continue the relationship. Nor does it create exclusivity: each Participant may keep working on similar topics, provided they do not use the Company's confidential information.</w:t>
      </w:r>
    </w:p>
    <w:p>
      <w:r>
        <w:rPr>
          <w:b/>
          <w:sz w:val="23"/>
        </w:rPr>
        <w:t>7. Term</w:t>
      </w:r>
    </w:p>
    <w:p>
      <w:r>
        <w:t>Confidentiality obligations apply from signature and for two (2) years after the Session. For information the Company expressly identifies as a trade secret, they apply for as long as it remains secret.</w:t>
      </w:r>
    </w:p>
    <w:p>
      <w:r>
        <w:rPr>
          <w:b/>
          <w:sz w:val="23"/>
        </w:rPr>
        <w:t>8. The Organiser's role</w:t>
      </w:r>
    </w:p>
    <w:p>
      <w:r>
        <w:t>Anti-Pitch and the local organiser take on the same obligations as the Participants. They may keep the signatories' contact details and a minimal record of the Session (date, city, participants and the general topic of the challenge) under the Privacy Policy published at antipitch.org. They do not publish challenges or outcomes without the Company's written permission.</w:t>
      </w:r>
    </w:p>
    <w:p>
      <w:r>
        <w:rPr>
          <w:b/>
          <w:sz w:val="23"/>
        </w:rPr>
        <w:t>9. Breach</w:t>
      </w:r>
    </w:p>
    <w:p>
      <w:r>
        <w:t>Each Participant is responsible for their own breaches. The Company may demand that disclosure stop and claim the damages a breach causes it, under applicable law.</w:t>
      </w:r>
    </w:p>
    <w:p>
      <w:r>
        <w:rPr>
          <w:b/>
          <w:sz w:val="23"/>
        </w:rPr>
        <w:t>10. General provisions</w:t>
      </w:r>
    </w:p>
    <w:p>
      <w:r>
        <w:t>This is the entire agreement on confidentiality for this Session and replaces prior discussions on the subject. If the Company and a Participant have a stricter confidentiality agreement between them, that one prevails. Any change must be in writing. If a clause is found invalid, the rest remains in force.</w:t>
      </w:r>
    </w:p>
    <w:p>
      <w:r>
        <w:t>It may be signed on paper or electronically and in counterparts; together they form a single agreement.</w:t>
      </w:r>
    </w:p>
    <w:p>
      <w:r>
        <w:rPr>
          <w:b/>
          <w:sz w:val="23"/>
        </w:rPr>
        <w:t>11. Governing law and jurisdiction</w:t>
      </w:r>
    </w:p>
    <w:p>
      <w:r>
        <w:t>This agreement is governed by the laws of [country or jurisdiction] and any dispute is submitted to the courts of [city], unless the parties agree otherwise in writing.</w:t>
      </w:r>
    </w:p>
    <w:p>
      <w:r>
        <w:br w:type="page"/>
      </w:r>
    </w:p>
    <w:p>
      <w:r>
        <w:rPr>
          <w:b/>
        </w:rPr>
        <w:t>For the Company</w:t>
      </w:r>
    </w:p>
    <w:p>
      <w:r>
        <w:t>Name and title: ____________________________________</w:t>
      </w:r>
    </w:p>
    <w:p>
      <w:r>
        <w:t>Signature: ____________________________________</w:t>
      </w:r>
    </w:p>
    <w:p>
      <w:r>
        <w:t>Date: ____________________________________</w:t>
      </w:r>
    </w:p>
    <w:p/>
    <w:p>
      <w:r>
        <w:rPr>
          <w:b/>
        </w:rPr>
        <w:t>For the Organiser</w:t>
      </w:r>
    </w:p>
    <w:p>
      <w:r>
        <w:t>Name and title: ____________________________________</w:t>
      </w:r>
    </w:p>
    <w:p>
      <w:r>
        <w:t>Signature: ____________________________________</w:t>
      </w:r>
    </w:p>
    <w:p>
      <w:r>
        <w:t>Date: ____________________________________</w:t>
      </w:r>
    </w:p>
    <w:p/>
    <w:p>
      <w:r>
        <w:rPr>
          <w:b/>
        </w:rPr>
        <w:t>Participants</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Full name</w:t>
            </w:r>
          </w:p>
        </w:tc>
        <w:tc>
          <w:tcPr>
            <w:tcW w:type="dxa" w:w="2493"/>
          </w:tcPr>
          <w:p>
            <w:r>
              <w:rPr>
                <w:b/>
              </w:rPr>
              <w:t>Organisation and role</w:t>
            </w:r>
          </w:p>
        </w:tc>
        <w:tc>
          <w:tcPr>
            <w:tcW w:type="dxa" w:w="2493"/>
          </w:tcPr>
          <w:p>
            <w:r>
              <w:rPr>
                <w:b/>
              </w:rPr>
              <w:t>Email</w:t>
            </w:r>
          </w:p>
        </w:tc>
        <w:tc>
          <w:tcPr>
            <w:tcW w:type="dxa" w:w="2493"/>
          </w:tcPr>
          <w:p>
            <w:r>
              <w:rPr>
                <w:b/>
              </w:rPr>
              <w:t>Signature</w:t>
            </w:r>
          </w:p>
        </w:tc>
      </w:tr>
      <w:tr>
        <w:tc>
          <w:tcPr>
            <w:tcW w:type="dxa" w:w="2493"/>
          </w:tcPr>
          <w:p>
            <w:pPr>
              <w:spacing w:after="280"/>
            </w:pPr>
          </w:p>
        </w:tc>
        <w:tc>
          <w:tcPr>
            <w:tcW w:type="dxa" w:w="2493"/>
          </w:tcPr>
          <w:p>
            <w:pPr>
              <w:spacing w:after="280"/>
            </w:pPr>
          </w:p>
        </w:tc>
        <w:tc>
          <w:tcPr>
            <w:tcW w:type="dxa" w:w="2493"/>
          </w:tcPr>
          <w:p>
            <w:pPr>
              <w:spacing w:after="280"/>
            </w:pPr>
          </w:p>
        </w:tc>
        <w:tc>
          <w:tcPr>
            <w:tcW w:type="dxa" w:w="2493"/>
          </w:tcPr>
          <w:p>
            <w:pPr>
              <w:spacing w:after="280"/>
            </w:pPr>
          </w:p>
        </w:tc>
      </w:tr>
      <w:tr>
        <w:tc>
          <w:tcPr>
            <w:tcW w:type="dxa" w:w="2493"/>
          </w:tcPr>
          <w:p>
            <w:pPr>
              <w:spacing w:after="280"/>
            </w:pPr>
          </w:p>
        </w:tc>
        <w:tc>
          <w:tcPr>
            <w:tcW w:type="dxa" w:w="2493"/>
          </w:tcPr>
          <w:p>
            <w:pPr>
              <w:spacing w:after="280"/>
            </w:pPr>
          </w:p>
        </w:tc>
        <w:tc>
          <w:tcPr>
            <w:tcW w:type="dxa" w:w="2493"/>
          </w:tcPr>
          <w:p>
            <w:pPr>
              <w:spacing w:after="280"/>
            </w:pPr>
          </w:p>
        </w:tc>
        <w:tc>
          <w:tcPr>
            <w:tcW w:type="dxa" w:w="2493"/>
          </w:tcPr>
          <w:p>
            <w:pPr>
              <w:spacing w:after="280"/>
            </w:pPr>
          </w:p>
        </w:tc>
      </w:tr>
      <w:tr>
        <w:tc>
          <w:tcPr>
            <w:tcW w:type="dxa" w:w="2493"/>
          </w:tcPr>
          <w:p>
            <w:pPr>
              <w:spacing w:after="280"/>
            </w:pPr>
          </w:p>
        </w:tc>
        <w:tc>
          <w:tcPr>
            <w:tcW w:type="dxa" w:w="2493"/>
          </w:tcPr>
          <w:p>
            <w:pPr>
              <w:spacing w:after="280"/>
            </w:pPr>
          </w:p>
        </w:tc>
        <w:tc>
          <w:tcPr>
            <w:tcW w:type="dxa" w:w="2493"/>
          </w:tcPr>
          <w:p>
            <w:pPr>
              <w:spacing w:after="280"/>
            </w:pPr>
          </w:p>
        </w:tc>
        <w:tc>
          <w:tcPr>
            <w:tcW w:type="dxa" w:w="2493"/>
          </w:tcPr>
          <w:p>
            <w:pPr>
              <w:spacing w:after="280"/>
            </w:pPr>
          </w:p>
        </w:tc>
      </w:tr>
      <w:tr>
        <w:tc>
          <w:tcPr>
            <w:tcW w:type="dxa" w:w="2493"/>
          </w:tcPr>
          <w:p>
            <w:pPr>
              <w:spacing w:after="280"/>
            </w:pPr>
          </w:p>
        </w:tc>
        <w:tc>
          <w:tcPr>
            <w:tcW w:type="dxa" w:w="2493"/>
          </w:tcPr>
          <w:p>
            <w:pPr>
              <w:spacing w:after="280"/>
            </w:pPr>
          </w:p>
        </w:tc>
        <w:tc>
          <w:tcPr>
            <w:tcW w:type="dxa" w:w="2493"/>
          </w:tcPr>
          <w:p>
            <w:pPr>
              <w:spacing w:after="280"/>
            </w:pPr>
          </w:p>
        </w:tc>
        <w:tc>
          <w:tcPr>
            <w:tcW w:type="dxa" w:w="2493"/>
          </w:tcPr>
          <w:p>
            <w:pPr>
              <w:spacing w:after="280"/>
            </w:pPr>
          </w:p>
        </w:tc>
      </w:tr>
      <w:tr>
        <w:tc>
          <w:tcPr>
            <w:tcW w:type="dxa" w:w="2493"/>
          </w:tcPr>
          <w:p>
            <w:pPr>
              <w:spacing w:after="280"/>
            </w:pPr>
          </w:p>
        </w:tc>
        <w:tc>
          <w:tcPr>
            <w:tcW w:type="dxa" w:w="2493"/>
          </w:tcPr>
          <w:p>
            <w:pPr>
              <w:spacing w:after="280"/>
            </w:pPr>
          </w:p>
        </w:tc>
        <w:tc>
          <w:tcPr>
            <w:tcW w:type="dxa" w:w="2493"/>
          </w:tcPr>
          <w:p>
            <w:pPr>
              <w:spacing w:after="280"/>
            </w:pPr>
          </w:p>
        </w:tc>
        <w:tc>
          <w:tcPr>
            <w:tcW w:type="dxa" w:w="2493"/>
          </w:tcPr>
          <w:p>
            <w:pPr>
              <w:spacing w:after="280"/>
            </w:pPr>
          </w:p>
        </w:tc>
      </w:tr>
      <w:tr>
        <w:tc>
          <w:tcPr>
            <w:tcW w:type="dxa" w:w="2493"/>
          </w:tcPr>
          <w:p>
            <w:pPr>
              <w:spacing w:after="280"/>
            </w:pPr>
          </w:p>
        </w:tc>
        <w:tc>
          <w:tcPr>
            <w:tcW w:type="dxa" w:w="2493"/>
          </w:tcPr>
          <w:p>
            <w:pPr>
              <w:spacing w:after="280"/>
            </w:pPr>
          </w:p>
        </w:tc>
        <w:tc>
          <w:tcPr>
            <w:tcW w:type="dxa" w:w="2493"/>
          </w:tcPr>
          <w:p>
            <w:pPr>
              <w:spacing w:after="280"/>
            </w:pPr>
          </w:p>
        </w:tc>
        <w:tc>
          <w:tcPr>
            <w:tcW w:type="dxa" w:w="2493"/>
          </w:tcPr>
          <w:p>
            <w:pPr>
              <w:spacing w:after="280"/>
            </w:pPr>
          </w:p>
        </w:tc>
      </w:tr>
      <w:tr>
        <w:tc>
          <w:tcPr>
            <w:tcW w:type="dxa" w:w="2493"/>
          </w:tcPr>
          <w:p>
            <w:pPr>
              <w:spacing w:after="280"/>
            </w:pPr>
          </w:p>
        </w:tc>
        <w:tc>
          <w:tcPr>
            <w:tcW w:type="dxa" w:w="2493"/>
          </w:tcPr>
          <w:p>
            <w:pPr>
              <w:spacing w:after="280"/>
            </w:pPr>
          </w:p>
        </w:tc>
        <w:tc>
          <w:tcPr>
            <w:tcW w:type="dxa" w:w="2493"/>
          </w:tcPr>
          <w:p>
            <w:pPr>
              <w:spacing w:after="280"/>
            </w:pPr>
          </w:p>
        </w:tc>
        <w:tc>
          <w:tcPr>
            <w:tcW w:type="dxa" w:w="2493"/>
          </w:tcPr>
          <w:p>
            <w:pPr>
              <w:spacing w:after="280"/>
            </w:pPr>
          </w:p>
        </w:tc>
      </w:tr>
      <w:tr>
        <w:tc>
          <w:tcPr>
            <w:tcW w:type="dxa" w:w="2493"/>
          </w:tcPr>
          <w:p>
            <w:pPr>
              <w:spacing w:after="280"/>
            </w:pPr>
          </w:p>
        </w:tc>
        <w:tc>
          <w:tcPr>
            <w:tcW w:type="dxa" w:w="2493"/>
          </w:tcPr>
          <w:p>
            <w:pPr>
              <w:spacing w:after="280"/>
            </w:pPr>
          </w:p>
        </w:tc>
        <w:tc>
          <w:tcPr>
            <w:tcW w:type="dxa" w:w="2493"/>
          </w:tcPr>
          <w:p>
            <w:pPr>
              <w:spacing w:after="280"/>
            </w:pPr>
          </w:p>
        </w:tc>
        <w:tc>
          <w:tcPr>
            <w:tcW w:type="dxa" w:w="2493"/>
          </w:tcPr>
          <w:p>
            <w:pPr>
              <w:spacing w:after="280"/>
            </w:pPr>
          </w:p>
        </w:tc>
      </w:tr>
    </w:tbl>
    <w:p/>
    <w:p>
      <w:r>
        <w:rPr>
          <w:color w:val="6B6391"/>
          <w:sz w:val="16"/>
        </w:rPr>
        <w:t>Anti-Pitch model non-disclosure agreement · v1.0 · October 2026 · antipitch.org/confidencialidad. A starting point designed for 120-minute sessions; it does not replace legal advice. Companies may propose their own agreement.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